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32"/>
          <w:szCs w:val="32"/>
          <w:lang w:val="en-US" w:eastAsia="zh-CN"/>
        </w:rPr>
      </w:pPr>
      <w:r>
        <w:rPr>
          <w:rFonts w:hint="eastAsia" w:ascii="黑体" w:hAnsi="宋体" w:eastAsia="黑体" w:cs="黑体"/>
          <w:b w:val="0"/>
          <w:i w:val="0"/>
          <w:caps w:val="0"/>
          <w:color w:val="404040"/>
          <w:spacing w:val="0"/>
          <w:sz w:val="32"/>
          <w:szCs w:val="32"/>
        </w:rPr>
        <w:t>2020年河南省普通高中</w:t>
      </w:r>
      <w:r>
        <w:rPr>
          <w:rFonts w:hint="eastAsia" w:ascii="黑体" w:hAnsi="宋体" w:eastAsia="黑体" w:cs="黑体"/>
          <w:b w:val="0"/>
          <w:i w:val="0"/>
          <w:caps w:val="0"/>
          <w:color w:val="404040"/>
          <w:spacing w:val="0"/>
          <w:sz w:val="32"/>
          <w:szCs w:val="32"/>
          <w:lang w:eastAsia="zh-CN"/>
        </w:rPr>
        <w:t>数学</w:t>
      </w:r>
      <w:r>
        <w:rPr>
          <w:rFonts w:hint="eastAsia" w:ascii="黑体" w:hAnsi="宋体" w:eastAsia="黑体" w:cs="黑体"/>
          <w:b w:val="0"/>
          <w:i w:val="0"/>
          <w:caps w:val="0"/>
          <w:color w:val="404040"/>
          <w:spacing w:val="0"/>
          <w:sz w:val="32"/>
          <w:szCs w:val="32"/>
        </w:rPr>
        <w:t>学科骨干教师专项培训总结</w:t>
      </w:r>
      <w:r>
        <w:rPr>
          <w:rFonts w:hint="eastAsia" w:ascii="仿宋" w:hAnsi="仿宋" w:eastAsia="仿宋" w:cs="仿宋"/>
          <w:sz w:val="32"/>
          <w:szCs w:val="32"/>
          <w:lang w:val="en-US" w:eastAsia="zh-CN"/>
        </w:rPr>
        <w:t xml:space="preserve"> </w:t>
      </w:r>
    </w:p>
    <w:p>
      <w:pPr>
        <w:jc w:val="center"/>
        <w:rPr>
          <w:rFonts w:hint="eastAsia" w:ascii="仿宋" w:hAnsi="仿宋" w:eastAsia="仿宋" w:cs="仿宋"/>
          <w:sz w:val="32"/>
          <w:szCs w:val="32"/>
          <w:lang w:val="en-US" w:eastAsia="zh-CN"/>
        </w:rPr>
      </w:pPr>
    </w:p>
    <w:p>
      <w:pPr>
        <w:jc w:val="center"/>
        <w:rPr>
          <w:rFonts w:hint="eastAsia" w:ascii="仿宋" w:hAnsi="仿宋" w:eastAsia="仿宋" w:cs="仿宋"/>
          <w:b/>
          <w:bCs/>
          <w:sz w:val="30"/>
          <w:szCs w:val="30"/>
        </w:rPr>
      </w:pPr>
      <w:r>
        <w:rPr>
          <w:rFonts w:hint="eastAsia" w:ascii="黑体" w:hAnsi="宋体" w:eastAsia="黑体" w:cs="黑体"/>
          <w:b w:val="0"/>
          <w:i w:val="0"/>
          <w:caps w:val="0"/>
          <w:color w:val="404040"/>
          <w:spacing w:val="0"/>
          <w:sz w:val="30"/>
          <w:szCs w:val="30"/>
          <w:lang w:val="en-US" w:eastAsia="zh-CN"/>
        </w:rPr>
        <w:t>三江合处问道  巴山怀中智行</w:t>
      </w:r>
      <w:r>
        <w:rPr>
          <w:rFonts w:hint="eastAsia" w:ascii="黑体" w:hAnsi="宋体" w:eastAsia="黑体" w:cs="黑体"/>
          <w:b w:val="0"/>
          <w:i w:val="0"/>
          <w:caps w:val="0"/>
          <w:color w:val="404040"/>
          <w:spacing w:val="0"/>
          <w:sz w:val="30"/>
          <w:szCs w:val="30"/>
        </w:rPr>
        <w:br w:type="textWrapping"/>
      </w:r>
      <w:r>
        <w:rPr>
          <w:rFonts w:hint="eastAsia" w:ascii="黑体" w:hAnsi="宋体" w:eastAsia="黑体" w:cs="黑体"/>
          <w:b w:val="0"/>
          <w:i w:val="0"/>
          <w:caps w:val="0"/>
          <w:color w:val="404040"/>
          <w:spacing w:val="0"/>
          <w:sz w:val="30"/>
          <w:szCs w:val="30"/>
        </w:rPr>
        <w:t>——2020年河南省普通高中</w:t>
      </w:r>
      <w:r>
        <w:rPr>
          <w:rFonts w:hint="eastAsia" w:ascii="黑体" w:hAnsi="宋体" w:eastAsia="黑体" w:cs="黑体"/>
          <w:b w:val="0"/>
          <w:i w:val="0"/>
          <w:caps w:val="0"/>
          <w:color w:val="404040"/>
          <w:spacing w:val="0"/>
          <w:sz w:val="30"/>
          <w:szCs w:val="30"/>
          <w:lang w:eastAsia="zh-CN"/>
        </w:rPr>
        <w:t>数学</w:t>
      </w:r>
      <w:r>
        <w:rPr>
          <w:rFonts w:hint="eastAsia" w:ascii="黑体" w:hAnsi="宋体" w:eastAsia="黑体" w:cs="黑体"/>
          <w:b w:val="0"/>
          <w:i w:val="0"/>
          <w:caps w:val="0"/>
          <w:color w:val="404040"/>
          <w:spacing w:val="0"/>
          <w:sz w:val="30"/>
          <w:szCs w:val="30"/>
        </w:rPr>
        <w:t>学科骨干教师专项培训总结</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寒山转苍翠，秋水日潺湲。2020年11月17日，</w:t>
      </w:r>
      <w:r>
        <w:rPr>
          <w:rFonts w:hint="eastAsia" w:ascii="仿宋" w:hAnsi="仿宋" w:eastAsia="仿宋" w:cs="仿宋"/>
          <w:sz w:val="30"/>
          <w:szCs w:val="30"/>
          <w:lang w:eastAsia="zh-CN"/>
        </w:rPr>
        <w:t>来自河南省</w:t>
      </w:r>
      <w:r>
        <w:rPr>
          <w:rFonts w:hint="eastAsia" w:ascii="仿宋" w:hAnsi="仿宋" w:eastAsia="仿宋" w:cs="仿宋"/>
          <w:sz w:val="30"/>
          <w:szCs w:val="30"/>
          <w:lang w:val="en-US" w:eastAsia="zh-CN"/>
        </w:rPr>
        <w:t>的106名高中数学优秀教师齐聚西南大学</w:t>
      </w:r>
      <w:r>
        <w:rPr>
          <w:rFonts w:hint="eastAsia" w:ascii="仿宋" w:hAnsi="仿宋" w:eastAsia="仿宋" w:cs="仿宋"/>
          <w:sz w:val="30"/>
          <w:szCs w:val="30"/>
        </w:rPr>
        <w:t>，</w:t>
      </w:r>
      <w:r>
        <w:rPr>
          <w:rFonts w:hint="eastAsia" w:ascii="仿宋" w:hAnsi="仿宋" w:eastAsia="仿宋" w:cs="仿宋"/>
          <w:sz w:val="30"/>
          <w:szCs w:val="30"/>
          <w:lang w:eastAsia="zh-CN"/>
        </w:rPr>
        <w:t>开启了河南省骨干教师的巴蜀研学之旅。</w:t>
      </w:r>
    </w:p>
    <w:p>
      <w:pPr>
        <w:ind w:firstLine="2891" w:firstLineChars="9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求真问智 砥砺前行</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11月</w:t>
      </w:r>
      <w:r>
        <w:rPr>
          <w:rFonts w:hint="eastAsia" w:ascii="仿宋" w:hAnsi="仿宋" w:eastAsia="仿宋" w:cs="仿宋"/>
          <w:sz w:val="30"/>
          <w:szCs w:val="30"/>
        </w:rPr>
        <w:t>17日上午</w:t>
      </w:r>
      <w:r>
        <w:rPr>
          <w:rFonts w:hint="eastAsia" w:ascii="仿宋" w:hAnsi="仿宋" w:eastAsia="仿宋" w:cs="仿宋"/>
          <w:sz w:val="30"/>
          <w:szCs w:val="30"/>
          <w:lang w:val="en-US" w:eastAsia="zh-CN"/>
        </w:rPr>
        <w:t>，</w:t>
      </w:r>
      <w:r>
        <w:rPr>
          <w:rFonts w:hint="eastAsia" w:ascii="仿宋" w:hAnsi="仿宋" w:eastAsia="仿宋" w:cs="仿宋"/>
          <w:sz w:val="30"/>
          <w:szCs w:val="30"/>
        </w:rPr>
        <w:t>在西南大学</w:t>
      </w:r>
      <w:r>
        <w:rPr>
          <w:rFonts w:hint="eastAsia" w:ascii="仿宋" w:hAnsi="仿宋" w:eastAsia="仿宋" w:cs="仿宋"/>
          <w:sz w:val="30"/>
          <w:szCs w:val="30"/>
          <w:lang w:val="en-US" w:eastAsia="zh-CN"/>
        </w:rPr>
        <w:t>圆顶楼报告厅，举行了简洁而又隆重的</w:t>
      </w:r>
      <w:r>
        <w:rPr>
          <w:rFonts w:hint="eastAsia" w:ascii="仿宋" w:hAnsi="仿宋" w:eastAsia="仿宋" w:cs="仿宋"/>
          <w:sz w:val="30"/>
          <w:szCs w:val="30"/>
        </w:rPr>
        <w:t>培训开班典礼</w:t>
      </w:r>
      <w:r>
        <w:rPr>
          <w:rFonts w:hint="eastAsia" w:ascii="仿宋" w:hAnsi="仿宋" w:eastAsia="仿宋" w:cs="仿宋"/>
          <w:sz w:val="30"/>
          <w:szCs w:val="30"/>
          <w:lang w:eastAsia="zh-CN"/>
        </w:rPr>
        <w:t>仪式</w:t>
      </w:r>
      <w:r>
        <w:rPr>
          <w:rFonts w:hint="eastAsia" w:ascii="仿宋" w:hAnsi="仿宋" w:eastAsia="仿宋" w:cs="仿宋"/>
          <w:sz w:val="30"/>
          <w:szCs w:val="30"/>
        </w:rPr>
        <w:t>。</w:t>
      </w:r>
      <w:r>
        <w:rPr>
          <w:rFonts w:hint="eastAsia" w:ascii="仿宋" w:hAnsi="仿宋" w:eastAsia="仿宋" w:cs="仿宋"/>
          <w:sz w:val="30"/>
          <w:szCs w:val="30"/>
          <w:lang w:eastAsia="zh-CN"/>
        </w:rPr>
        <w:t>河南</w:t>
      </w:r>
      <w:r>
        <w:rPr>
          <w:rFonts w:hint="eastAsia" w:ascii="仿宋" w:hAnsi="仿宋" w:eastAsia="仿宋" w:cs="仿宋"/>
          <w:sz w:val="30"/>
          <w:szCs w:val="30"/>
        </w:rPr>
        <w:t>省教育厅教师教育处副处长肖向毅</w:t>
      </w:r>
      <w:r>
        <w:rPr>
          <w:rFonts w:hint="eastAsia" w:ascii="仿宋" w:hAnsi="仿宋" w:eastAsia="仿宋" w:cs="仿宋"/>
          <w:sz w:val="30"/>
          <w:szCs w:val="30"/>
          <w:lang w:eastAsia="zh-CN"/>
        </w:rPr>
        <w:t>、河南</w:t>
      </w:r>
      <w:r>
        <w:rPr>
          <w:rFonts w:hint="eastAsia" w:ascii="仿宋" w:hAnsi="仿宋" w:eastAsia="仿宋" w:cs="仿宋"/>
          <w:sz w:val="30"/>
          <w:szCs w:val="30"/>
        </w:rPr>
        <w:t>省</w:t>
      </w:r>
      <w:r>
        <w:rPr>
          <w:rFonts w:hint="eastAsia" w:ascii="仿宋" w:hAnsi="仿宋" w:eastAsia="仿宋" w:cs="仿宋"/>
          <w:sz w:val="30"/>
          <w:szCs w:val="30"/>
          <w:lang w:eastAsia="zh-CN"/>
        </w:rPr>
        <w:t>基础教育</w:t>
      </w:r>
      <w:r>
        <w:rPr>
          <w:rFonts w:hint="eastAsia" w:ascii="仿宋" w:hAnsi="仿宋" w:eastAsia="仿宋" w:cs="仿宋"/>
          <w:sz w:val="30"/>
          <w:szCs w:val="30"/>
          <w:lang w:val="en-US" w:eastAsia="zh-CN"/>
        </w:rPr>
        <w:t>教学研究</w:t>
      </w:r>
      <w:r>
        <w:rPr>
          <w:rFonts w:hint="eastAsia" w:ascii="仿宋" w:hAnsi="仿宋" w:eastAsia="仿宋" w:cs="仿宋"/>
          <w:sz w:val="30"/>
          <w:szCs w:val="30"/>
        </w:rPr>
        <w:t>室主</w:t>
      </w:r>
      <w:r>
        <w:rPr>
          <w:rFonts w:hint="eastAsia" w:ascii="仿宋" w:hAnsi="仿宋" w:eastAsia="仿宋" w:cs="仿宋"/>
          <w:sz w:val="30"/>
          <w:szCs w:val="30"/>
          <w:lang w:eastAsia="zh-CN"/>
        </w:rPr>
        <w:t>任</w:t>
      </w:r>
      <w:r>
        <w:rPr>
          <w:rFonts w:hint="eastAsia" w:ascii="仿宋" w:hAnsi="仿宋" w:eastAsia="仿宋" w:cs="仿宋"/>
          <w:sz w:val="30"/>
          <w:szCs w:val="30"/>
        </w:rPr>
        <w:t>李海龙</w:t>
      </w:r>
      <w:r>
        <w:rPr>
          <w:rFonts w:hint="eastAsia" w:ascii="仿宋" w:hAnsi="仿宋" w:eastAsia="仿宋" w:cs="仿宋"/>
          <w:sz w:val="30"/>
          <w:szCs w:val="30"/>
          <w:lang w:eastAsia="zh-CN"/>
        </w:rPr>
        <w:t>、</w:t>
      </w:r>
      <w:r>
        <w:rPr>
          <w:rFonts w:hint="eastAsia" w:ascii="仿宋" w:hAnsi="仿宋" w:eastAsia="仿宋" w:cs="仿宋"/>
          <w:sz w:val="30"/>
          <w:szCs w:val="30"/>
        </w:rPr>
        <w:t>西南大学教师教育学院</w:t>
      </w:r>
      <w:r>
        <w:rPr>
          <w:rFonts w:hint="eastAsia" w:ascii="仿宋" w:hAnsi="仿宋" w:eastAsia="仿宋" w:cs="仿宋"/>
          <w:sz w:val="30"/>
          <w:szCs w:val="30"/>
          <w:lang w:eastAsia="zh-CN"/>
        </w:rPr>
        <w:t>院长</w:t>
      </w:r>
      <w:r>
        <w:rPr>
          <w:rFonts w:hint="eastAsia" w:ascii="仿宋" w:hAnsi="仿宋" w:eastAsia="仿宋" w:cs="仿宋"/>
          <w:sz w:val="30"/>
          <w:szCs w:val="30"/>
          <w:lang w:val="en-US" w:eastAsia="zh-CN"/>
        </w:rPr>
        <w:t>陈恩伦、李世讴等</w:t>
      </w:r>
      <w:r>
        <w:rPr>
          <w:rFonts w:hint="eastAsia" w:ascii="仿宋" w:hAnsi="仿宋" w:eastAsia="仿宋" w:cs="仿宋"/>
          <w:sz w:val="30"/>
          <w:szCs w:val="30"/>
        </w:rPr>
        <w:t>领导出席</w:t>
      </w:r>
      <w:r>
        <w:rPr>
          <w:rFonts w:hint="eastAsia" w:ascii="仿宋" w:hAnsi="仿宋" w:eastAsia="仿宋" w:cs="仿宋"/>
          <w:sz w:val="30"/>
          <w:szCs w:val="30"/>
          <w:lang w:val="en-US" w:eastAsia="zh-CN"/>
        </w:rPr>
        <w:t>了</w:t>
      </w:r>
      <w:r>
        <w:rPr>
          <w:rFonts w:hint="eastAsia" w:ascii="仿宋" w:hAnsi="仿宋" w:eastAsia="仿宋" w:cs="仿宋"/>
          <w:sz w:val="30"/>
          <w:szCs w:val="30"/>
        </w:rPr>
        <w:t>本次开班仪式</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陈恩伦院长首先向大家的到来表示热烈欢迎，并向大家介绍了西南大学悠久的办学历史、深厚的文化底蕴以及教师教育学院的职责和使命。随后，</w:t>
      </w:r>
      <w:r>
        <w:rPr>
          <w:rFonts w:hint="eastAsia" w:ascii="仿宋" w:hAnsi="仿宋" w:eastAsia="仿宋" w:cs="仿宋"/>
          <w:sz w:val="30"/>
          <w:szCs w:val="30"/>
          <w:lang w:eastAsia="zh-CN"/>
        </w:rPr>
        <w:t>肖处长对大家提出了希冀，希望全体学员要充分</w:t>
      </w:r>
      <w:r>
        <w:rPr>
          <w:rFonts w:hint="eastAsia" w:ascii="仿宋" w:hAnsi="仿宋" w:eastAsia="仿宋" w:cs="仿宋"/>
          <w:sz w:val="30"/>
          <w:szCs w:val="30"/>
        </w:rPr>
        <w:t>认识</w:t>
      </w:r>
      <w:r>
        <w:rPr>
          <w:rFonts w:hint="eastAsia" w:ascii="仿宋" w:hAnsi="仿宋" w:eastAsia="仿宋" w:cs="仿宋"/>
          <w:sz w:val="30"/>
          <w:szCs w:val="30"/>
          <w:lang w:eastAsia="zh-CN"/>
        </w:rPr>
        <w:t>到</w:t>
      </w:r>
      <w:r>
        <w:rPr>
          <w:rFonts w:hint="eastAsia" w:ascii="仿宋" w:hAnsi="仿宋" w:eastAsia="仿宋" w:cs="仿宋"/>
          <w:sz w:val="30"/>
          <w:szCs w:val="30"/>
        </w:rPr>
        <w:t>这次培训的背景，</w:t>
      </w:r>
      <w:r>
        <w:rPr>
          <w:rFonts w:hint="eastAsia" w:ascii="仿宋" w:hAnsi="仿宋" w:eastAsia="仿宋" w:cs="仿宋"/>
          <w:sz w:val="30"/>
          <w:szCs w:val="30"/>
          <w:lang w:eastAsia="zh-CN"/>
        </w:rPr>
        <w:t>了解</w:t>
      </w:r>
      <w:r>
        <w:rPr>
          <w:rFonts w:hint="eastAsia" w:ascii="仿宋" w:hAnsi="仿宋" w:eastAsia="仿宋" w:cs="仿宋"/>
          <w:sz w:val="30"/>
          <w:szCs w:val="30"/>
        </w:rPr>
        <w:t>党的十八大以来对新时代教师队伍建设指明</w:t>
      </w:r>
      <w:r>
        <w:rPr>
          <w:rFonts w:hint="eastAsia" w:ascii="仿宋" w:hAnsi="仿宋" w:eastAsia="仿宋" w:cs="仿宋"/>
          <w:sz w:val="30"/>
          <w:szCs w:val="30"/>
          <w:lang w:eastAsia="zh-CN"/>
        </w:rPr>
        <w:t>的</w:t>
      </w:r>
      <w:r>
        <w:rPr>
          <w:rFonts w:hint="eastAsia" w:ascii="仿宋" w:hAnsi="仿宋" w:eastAsia="仿宋" w:cs="仿宋"/>
          <w:sz w:val="30"/>
          <w:szCs w:val="30"/>
        </w:rPr>
        <w:t>前进方向</w:t>
      </w:r>
      <w:r>
        <w:rPr>
          <w:rFonts w:hint="eastAsia" w:ascii="仿宋" w:hAnsi="仿宋" w:eastAsia="仿宋" w:cs="仿宋"/>
          <w:sz w:val="30"/>
          <w:szCs w:val="30"/>
          <w:lang w:eastAsia="zh-CN"/>
        </w:rPr>
        <w:t>与对</w:t>
      </w:r>
      <w:r>
        <w:rPr>
          <w:rFonts w:hint="eastAsia" w:ascii="仿宋" w:hAnsi="仿宋" w:eastAsia="仿宋" w:cs="仿宋"/>
          <w:sz w:val="30"/>
          <w:szCs w:val="30"/>
        </w:rPr>
        <w:t>教师工作提出的</w:t>
      </w:r>
      <w:r>
        <w:rPr>
          <w:rFonts w:hint="eastAsia" w:ascii="仿宋" w:hAnsi="仿宋" w:eastAsia="仿宋" w:cs="仿宋"/>
          <w:sz w:val="30"/>
          <w:szCs w:val="30"/>
          <w:lang w:eastAsia="zh-CN"/>
        </w:rPr>
        <w:t>新</w:t>
      </w:r>
      <w:r>
        <w:rPr>
          <w:rFonts w:hint="eastAsia" w:ascii="仿宋" w:hAnsi="仿宋" w:eastAsia="仿宋" w:cs="仿宋"/>
          <w:sz w:val="30"/>
          <w:szCs w:val="30"/>
        </w:rPr>
        <w:t>要求</w:t>
      </w:r>
      <w:r>
        <w:rPr>
          <w:rFonts w:hint="eastAsia" w:ascii="仿宋" w:hAnsi="仿宋" w:eastAsia="仿宋" w:cs="仿宋"/>
          <w:sz w:val="30"/>
          <w:szCs w:val="30"/>
          <w:lang w:eastAsia="zh-CN"/>
        </w:rPr>
        <w:t>，并预祝培训班圆满成功，学员们学有所获。最后</w:t>
      </w:r>
      <w:r>
        <w:rPr>
          <w:rFonts w:hint="eastAsia" w:ascii="仿宋" w:hAnsi="仿宋" w:eastAsia="仿宋" w:cs="仿宋"/>
          <w:sz w:val="30"/>
          <w:szCs w:val="30"/>
        </w:rPr>
        <w:t>李主任</w:t>
      </w:r>
      <w:r>
        <w:rPr>
          <w:rFonts w:hint="eastAsia" w:ascii="仿宋" w:hAnsi="仿宋" w:eastAsia="仿宋" w:cs="仿宋"/>
          <w:sz w:val="30"/>
          <w:szCs w:val="30"/>
          <w:lang w:eastAsia="zh-CN"/>
        </w:rPr>
        <w:t>做了重要讲话，要求全体学员</w:t>
      </w:r>
      <w:r>
        <w:rPr>
          <w:rFonts w:hint="eastAsia" w:ascii="仿宋" w:hAnsi="仿宋" w:eastAsia="仿宋" w:cs="仿宋"/>
          <w:sz w:val="30"/>
          <w:szCs w:val="30"/>
        </w:rPr>
        <w:t>明确本次培训的总体要求</w:t>
      </w:r>
      <w:r>
        <w:rPr>
          <w:rFonts w:hint="eastAsia" w:ascii="仿宋" w:hAnsi="仿宋" w:eastAsia="仿宋" w:cs="仿宋"/>
          <w:sz w:val="30"/>
          <w:szCs w:val="30"/>
          <w:lang w:eastAsia="zh-CN"/>
        </w:rPr>
        <w:t>及</w:t>
      </w:r>
      <w:r>
        <w:rPr>
          <w:rFonts w:hint="eastAsia" w:ascii="仿宋" w:hAnsi="仿宋" w:eastAsia="仿宋" w:cs="仿宋"/>
          <w:sz w:val="30"/>
          <w:szCs w:val="30"/>
        </w:rPr>
        <w:t>培训内容</w:t>
      </w:r>
      <w:r>
        <w:rPr>
          <w:rFonts w:hint="eastAsia" w:ascii="仿宋" w:hAnsi="仿宋" w:eastAsia="仿宋" w:cs="仿宋"/>
          <w:sz w:val="30"/>
          <w:szCs w:val="30"/>
          <w:lang w:eastAsia="zh-CN"/>
        </w:rPr>
        <w:t>，要</w:t>
      </w:r>
      <w:r>
        <w:rPr>
          <w:rFonts w:hint="eastAsia" w:ascii="仿宋" w:hAnsi="仿宋" w:eastAsia="仿宋" w:cs="仿宋"/>
          <w:sz w:val="30"/>
          <w:szCs w:val="30"/>
        </w:rPr>
        <w:t>按照集中培训与校本研修相结合，课题研究与教学实践相结合，终极评价与动态管理相结合的原则，组织实施培训。</w:t>
      </w:r>
      <w:r>
        <w:rPr>
          <w:rFonts w:hint="eastAsia" w:ascii="仿宋" w:hAnsi="仿宋" w:eastAsia="仿宋" w:cs="仿宋"/>
          <w:sz w:val="30"/>
          <w:szCs w:val="30"/>
          <w:lang w:eastAsia="zh-CN"/>
        </w:rPr>
        <w:t>李主任进一步强调，希望老师们能够转变角色，珍惜学习机会，汲取各位名家的智慧，了解教育前沿的思想和动态，躬身做一名真正的求学者。</w:t>
      </w:r>
    </w:p>
    <w:p>
      <w:pPr>
        <w:jc w:val="center"/>
        <w:rPr>
          <w:rFonts w:hint="eastAsia" w:ascii="仿宋" w:hAnsi="仿宋" w:eastAsia="仿宋" w:cs="仿宋"/>
          <w:sz w:val="30"/>
          <w:szCs w:val="30"/>
          <w:lang w:eastAsia="zh-CN"/>
        </w:rPr>
      </w:pPr>
      <w:r>
        <w:rPr>
          <w:rFonts w:hint="eastAsia"/>
          <w:sz w:val="28"/>
          <w:szCs w:val="28"/>
          <w:lang w:val="en-US" w:eastAsia="zh-CN"/>
        </w:rPr>
        <w:drawing>
          <wp:inline distT="0" distB="0" distL="114300" distR="114300">
            <wp:extent cx="3239770" cy="2430780"/>
            <wp:effectExtent l="0" t="0" r="17780" b="7620"/>
            <wp:docPr id="5" name="图片 5" descr="微信图片_202011232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123201933"/>
                    <pic:cNvPicPr>
                      <a:picLocks noChangeAspect="1"/>
                    </pic:cNvPicPr>
                  </pic:nvPicPr>
                  <pic:blipFill>
                    <a:blip r:embed="rId4">
                      <a:lum bright="12000" contrast="6000"/>
                    </a:blip>
                    <a:stretch>
                      <a:fillRect/>
                    </a:stretch>
                  </pic:blipFill>
                  <pic:spPr>
                    <a:xfrm>
                      <a:off x="0" y="0"/>
                      <a:ext cx="3239770" cy="2430780"/>
                    </a:xfrm>
                    <a:prstGeom prst="rect">
                      <a:avLst/>
                    </a:prstGeom>
                  </pic:spPr>
                </pic:pic>
              </a:graphicData>
            </a:graphic>
          </wp:inline>
        </w:drawing>
      </w:r>
    </w:p>
    <w:p>
      <w:pPr>
        <w:numPr>
          <w:ilvl w:val="0"/>
          <w:numId w:val="0"/>
        </w:numPr>
        <w:jc w:val="center"/>
        <w:rPr>
          <w:rFonts w:hint="eastAsia" w:ascii="仿宋" w:hAnsi="仿宋" w:eastAsia="仿宋" w:cs="仿宋"/>
          <w:sz w:val="30"/>
          <w:szCs w:val="30"/>
          <w:lang w:eastAsia="zh-CN"/>
        </w:rPr>
      </w:pPr>
      <w:r>
        <w:rPr>
          <w:rFonts w:hint="eastAsia" w:ascii="仿宋" w:hAnsi="仿宋" w:eastAsia="仿宋" w:cs="仿宋"/>
          <w:b/>
          <w:bCs/>
          <w:sz w:val="32"/>
          <w:szCs w:val="32"/>
          <w:lang w:val="en-US" w:eastAsia="zh-CN"/>
        </w:rPr>
        <w:t>博学而慎思  明辨而笃行</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全体学员有幸聆听了</w:t>
      </w:r>
      <w:r>
        <w:rPr>
          <w:rFonts w:hint="eastAsia" w:ascii="仿宋" w:hAnsi="仿宋" w:eastAsia="仿宋" w:cs="仿宋"/>
          <w:sz w:val="30"/>
          <w:szCs w:val="30"/>
        </w:rPr>
        <w:t>西南大学张诗亚教授</w:t>
      </w:r>
      <w:r>
        <w:rPr>
          <w:rFonts w:hint="eastAsia" w:ascii="仿宋" w:hAnsi="仿宋" w:eastAsia="仿宋" w:cs="仿宋"/>
          <w:sz w:val="30"/>
          <w:szCs w:val="30"/>
          <w:lang w:eastAsia="zh-CN"/>
        </w:rPr>
        <w:t>带来</w:t>
      </w:r>
      <w:r>
        <w:rPr>
          <w:rFonts w:hint="eastAsia" w:ascii="仿宋" w:hAnsi="仿宋" w:eastAsia="仿宋" w:cs="仿宋"/>
          <w:sz w:val="30"/>
          <w:szCs w:val="30"/>
          <w:lang w:val="en-US" w:eastAsia="zh-CN"/>
        </w:rPr>
        <w:t>的</w:t>
      </w:r>
      <w:r>
        <w:rPr>
          <w:rFonts w:hint="eastAsia" w:ascii="仿宋" w:hAnsi="仿宋" w:eastAsia="仿宋" w:cs="仿宋"/>
          <w:sz w:val="30"/>
          <w:szCs w:val="30"/>
          <w:lang w:eastAsia="zh-CN"/>
        </w:rPr>
        <w:t>《</w:t>
      </w:r>
      <w:r>
        <w:rPr>
          <w:rFonts w:hint="eastAsia" w:ascii="仿宋" w:hAnsi="仿宋" w:eastAsia="仿宋" w:cs="仿宋"/>
          <w:sz w:val="30"/>
          <w:szCs w:val="30"/>
        </w:rPr>
        <w:t>生命教育内涵探索</w:t>
      </w:r>
      <w:r>
        <w:rPr>
          <w:rFonts w:hint="eastAsia" w:ascii="仿宋" w:hAnsi="仿宋" w:eastAsia="仿宋" w:cs="仿宋"/>
          <w:sz w:val="30"/>
          <w:szCs w:val="30"/>
          <w:lang w:eastAsia="zh-CN"/>
        </w:rPr>
        <w:t>》</w:t>
      </w:r>
      <w:r>
        <w:rPr>
          <w:rFonts w:hint="eastAsia" w:ascii="仿宋" w:hAnsi="仿宋" w:eastAsia="仿宋" w:cs="仿宋"/>
          <w:sz w:val="30"/>
          <w:szCs w:val="30"/>
        </w:rPr>
        <w:t>，</w:t>
      </w:r>
      <w:r>
        <w:rPr>
          <w:rFonts w:hint="eastAsia" w:ascii="仿宋" w:hAnsi="仿宋" w:eastAsia="仿宋" w:cs="仿宋"/>
          <w:sz w:val="30"/>
          <w:szCs w:val="30"/>
          <w:lang w:val="en-US" w:eastAsia="zh-CN"/>
        </w:rPr>
        <w:t>张教授以河南文化里常见的“中”字释义开始，以文字的演变为主线讲解生命教育的内涵，用自己的教育故事和实践，诠释了教育的真谛。张教授渊博的学识无不令在场的学员折服，</w:t>
      </w:r>
      <w:r>
        <w:rPr>
          <w:rFonts w:hint="eastAsia" w:ascii="仿宋" w:hAnsi="仿宋" w:eastAsia="仿宋" w:cs="仿宋"/>
          <w:sz w:val="30"/>
          <w:szCs w:val="30"/>
          <w:lang w:eastAsia="zh-CN"/>
        </w:rPr>
        <w:t>让全体学员感受到</w:t>
      </w:r>
      <w:r>
        <w:rPr>
          <w:rFonts w:hint="eastAsia" w:ascii="仿宋" w:hAnsi="仿宋" w:eastAsia="仿宋" w:cs="仿宋"/>
          <w:sz w:val="30"/>
          <w:szCs w:val="30"/>
          <w:lang w:val="en-US" w:eastAsia="zh-CN"/>
        </w:rPr>
        <w:t>在</w:t>
      </w:r>
      <w:r>
        <w:rPr>
          <w:rFonts w:hint="eastAsia" w:ascii="仿宋" w:hAnsi="仿宋" w:eastAsia="仿宋" w:cs="仿宋"/>
          <w:sz w:val="30"/>
          <w:szCs w:val="30"/>
          <w:lang w:eastAsia="zh-CN"/>
        </w:rPr>
        <w:t>增加知识储备的同时也提升了文化修养，丰富了眼界阅历。</w:t>
      </w:r>
    </w:p>
    <w:p>
      <w:pPr>
        <w:ind w:firstLine="560" w:firstLineChars="200"/>
        <w:jc w:val="center"/>
        <w:rPr>
          <w:rFonts w:hint="eastAsia" w:ascii="Arial" w:hAnsi="Arial" w:eastAsia="宋体" w:cs="Arial"/>
          <w:i w:val="0"/>
          <w:caps w:val="0"/>
          <w:color w:val="333333"/>
          <w:spacing w:val="0"/>
          <w:sz w:val="28"/>
          <w:szCs w:val="28"/>
          <w:shd w:val="clear" w:fill="FFFFFF"/>
          <w:lang w:val="en-US" w:eastAsia="zh-CN"/>
        </w:rPr>
      </w:pPr>
      <w:r>
        <w:rPr>
          <w:rFonts w:hint="eastAsia" w:ascii="Arial" w:hAnsi="Arial" w:eastAsia="宋体" w:cs="Arial"/>
          <w:i w:val="0"/>
          <w:caps w:val="0"/>
          <w:color w:val="333333"/>
          <w:spacing w:val="0"/>
          <w:sz w:val="28"/>
          <w:szCs w:val="28"/>
          <w:shd w:val="clear" w:fill="FFFFFF"/>
          <w:lang w:val="en-US" w:eastAsia="zh-CN"/>
        </w:rPr>
        <w:drawing>
          <wp:inline distT="0" distB="0" distL="114300" distR="114300">
            <wp:extent cx="3239770" cy="2428875"/>
            <wp:effectExtent l="0" t="0" r="17780" b="9525"/>
            <wp:docPr id="3" name="图片 3" descr="微信图片_2020112320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123202914"/>
                    <pic:cNvPicPr>
                      <a:picLocks noChangeAspect="1"/>
                    </pic:cNvPicPr>
                  </pic:nvPicPr>
                  <pic:blipFill>
                    <a:blip r:embed="rId5">
                      <a:lum bright="6000"/>
                    </a:blip>
                    <a:stretch>
                      <a:fillRect/>
                    </a:stretch>
                  </pic:blipFill>
                  <pic:spPr>
                    <a:xfrm>
                      <a:off x="0" y="0"/>
                      <a:ext cx="3239770" cy="2428875"/>
                    </a:xfrm>
                    <a:prstGeom prst="rect">
                      <a:avLst/>
                    </a:prstGeom>
                  </pic:spPr>
                </pic:pic>
              </a:graphicData>
            </a:graphic>
          </wp:inline>
        </w:drawing>
      </w:r>
    </w:p>
    <w:p>
      <w:pPr>
        <w:numPr>
          <w:ilvl w:val="0"/>
          <w:numId w:val="0"/>
        </w:numPr>
        <w:jc w:val="center"/>
        <w:rPr>
          <w:rFonts w:hint="default" w:ascii="Arial" w:hAnsi="Arial" w:eastAsia="宋体" w:cs="Arial"/>
          <w:i w:val="0"/>
          <w:caps w:val="0"/>
          <w:color w:val="333333"/>
          <w:spacing w:val="0"/>
          <w:sz w:val="28"/>
          <w:szCs w:val="28"/>
          <w:shd w:val="clear" w:fill="FFFFFF"/>
          <w:lang w:val="en-US" w:eastAsia="zh-CN"/>
        </w:rPr>
      </w:pPr>
      <w:r>
        <w:rPr>
          <w:rFonts w:hint="eastAsia" w:ascii="仿宋" w:hAnsi="仿宋" w:eastAsia="仿宋" w:cs="仿宋"/>
          <w:b/>
          <w:bCs/>
          <w:sz w:val="32"/>
          <w:szCs w:val="32"/>
          <w:lang w:val="en-US" w:eastAsia="zh-CN"/>
        </w:rPr>
        <w:t>问渠那得清如许，为有源头活水来</w:t>
      </w:r>
    </w:p>
    <w:p>
      <w:pPr>
        <w:ind w:firstLine="600" w:firstLineChars="200"/>
        <w:jc w:val="left"/>
        <w:rPr>
          <w:rFonts w:hint="eastAsia" w:ascii="Arial" w:hAnsi="Arial" w:eastAsia="宋体" w:cs="Arial"/>
          <w:i w:val="0"/>
          <w:caps w:val="0"/>
          <w:color w:val="333333"/>
          <w:spacing w:val="0"/>
          <w:sz w:val="28"/>
          <w:szCs w:val="28"/>
          <w:shd w:val="clear" w:fill="FFFFFF"/>
          <w:lang w:val="en-US" w:eastAsia="zh-CN"/>
        </w:rPr>
      </w:pPr>
      <w:r>
        <w:rPr>
          <w:rFonts w:hint="eastAsia" w:ascii="仿宋" w:hAnsi="仿宋" w:eastAsia="仿宋" w:cs="仿宋"/>
          <w:sz w:val="30"/>
          <w:szCs w:val="30"/>
          <w:lang w:val="en-US" w:eastAsia="zh-CN"/>
        </w:rPr>
        <w:t>“如果你想让教师的劳动能够给教师带来乐趣，使天天上课不至于变成一种单调乏味的义务，那你就应当引导每一位教师走上从事研究这条幸福的道路上来。”河南省基础教育教学研究室数学教研员刘志凤老师引用前苏联教育家苏霍姆林斯基的名言开始了精彩的讲座《例谈课题研究》，刘老师系统阐述了教师做课题研究的深刻内涵和重要意义。由浅入深，娓娓道来，用温暖幽默的语言为学员搭建了清晰的课题研究的框架，并结合自己课题研究实例分析，鼓励学员不断进取，为学员的课题研究带来了更多的启迪与思考。</w:t>
      </w:r>
      <w:r>
        <w:rPr>
          <w:rFonts w:hint="eastAsia" w:ascii="Arial" w:hAnsi="Arial" w:eastAsia="宋体" w:cs="Arial"/>
          <w:i w:val="0"/>
          <w:caps w:val="0"/>
          <w:color w:val="333333"/>
          <w:spacing w:val="0"/>
          <w:sz w:val="28"/>
          <w:szCs w:val="28"/>
          <w:shd w:val="clear" w:fill="FFFFFF"/>
          <w:lang w:val="en-US" w:eastAsia="zh-CN"/>
        </w:rPr>
        <w:t xml:space="preserve">   </w:t>
      </w:r>
    </w:p>
    <w:p>
      <w:pPr>
        <w:numPr>
          <w:ilvl w:val="0"/>
          <w:numId w:val="0"/>
        </w:numPr>
        <w:ind w:left="210" w:leftChars="0"/>
        <w:jc w:val="center"/>
        <w:rPr>
          <w:rFonts w:hint="eastAsia" w:ascii="仿宋" w:hAnsi="仿宋" w:eastAsia="仿宋" w:cs="仿宋"/>
          <w:b/>
          <w:bCs/>
          <w:sz w:val="32"/>
          <w:szCs w:val="32"/>
          <w:lang w:val="en-US" w:eastAsia="zh-CN"/>
        </w:rPr>
      </w:pPr>
      <w:r>
        <w:rPr>
          <w:rFonts w:hint="eastAsia" w:ascii="Arial" w:hAnsi="Arial" w:eastAsia="宋体" w:cs="Arial"/>
          <w:i w:val="0"/>
          <w:caps w:val="0"/>
          <w:color w:val="333333"/>
          <w:spacing w:val="0"/>
          <w:sz w:val="28"/>
          <w:szCs w:val="28"/>
          <w:shd w:val="clear" w:fill="FFFFFF"/>
          <w:lang w:val="en-US" w:eastAsia="zh-CN"/>
        </w:rPr>
        <w:drawing>
          <wp:anchor distT="0" distB="0" distL="114300" distR="114300" simplePos="0" relativeHeight="251695104" behindDoc="1" locked="0" layoutInCell="1" allowOverlap="1">
            <wp:simplePos x="0" y="0"/>
            <wp:positionH relativeFrom="column">
              <wp:posOffset>476250</wp:posOffset>
            </wp:positionH>
            <wp:positionV relativeFrom="paragraph">
              <wp:posOffset>127635</wp:posOffset>
            </wp:positionV>
            <wp:extent cx="4319905" cy="2063115"/>
            <wp:effectExtent l="0" t="0" r="4445" b="13335"/>
            <wp:wrapTight wrapText="bothSides">
              <wp:wrapPolygon>
                <wp:start x="0" y="0"/>
                <wp:lineTo x="0" y="21341"/>
                <wp:lineTo x="21527" y="21341"/>
                <wp:lineTo x="21527" y="0"/>
                <wp:lineTo x="0" y="0"/>
              </wp:wrapPolygon>
            </wp:wrapTight>
            <wp:docPr id="4" name="图片 4" descr="微信图片_2020112320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123202040"/>
                    <pic:cNvPicPr>
                      <a:picLocks noChangeAspect="1"/>
                    </pic:cNvPicPr>
                  </pic:nvPicPr>
                  <pic:blipFill>
                    <a:blip r:embed="rId6">
                      <a:lum bright="-6000"/>
                    </a:blip>
                    <a:stretch>
                      <a:fillRect/>
                    </a:stretch>
                  </pic:blipFill>
                  <pic:spPr>
                    <a:xfrm>
                      <a:off x="0" y="0"/>
                      <a:ext cx="4319905" cy="2063115"/>
                    </a:xfrm>
                    <a:prstGeom prst="rect">
                      <a:avLst/>
                    </a:prstGeom>
                  </pic:spPr>
                </pic:pic>
              </a:graphicData>
            </a:graphic>
          </wp:anchor>
        </w:drawing>
      </w:r>
    </w:p>
    <w:p>
      <w:pPr>
        <w:numPr>
          <w:ilvl w:val="0"/>
          <w:numId w:val="0"/>
        </w:numPr>
        <w:ind w:left="210" w:leftChars="0"/>
        <w:jc w:val="center"/>
        <w:rPr>
          <w:rFonts w:hint="eastAsia" w:ascii="仿宋" w:hAnsi="仿宋" w:eastAsia="仿宋" w:cs="仿宋"/>
          <w:b/>
          <w:bCs/>
          <w:sz w:val="32"/>
          <w:szCs w:val="32"/>
          <w:lang w:val="en-US" w:eastAsia="zh-CN"/>
        </w:rPr>
      </w:pPr>
    </w:p>
    <w:p>
      <w:pPr>
        <w:numPr>
          <w:ilvl w:val="0"/>
          <w:numId w:val="0"/>
        </w:numPr>
        <w:ind w:left="210" w:leftChars="0"/>
        <w:jc w:val="center"/>
        <w:rPr>
          <w:rFonts w:hint="eastAsia" w:ascii="仿宋" w:hAnsi="仿宋" w:eastAsia="仿宋" w:cs="仿宋"/>
          <w:b/>
          <w:bCs/>
          <w:sz w:val="32"/>
          <w:szCs w:val="32"/>
          <w:lang w:val="en-US" w:eastAsia="zh-CN"/>
        </w:rPr>
      </w:pPr>
    </w:p>
    <w:p>
      <w:pPr>
        <w:numPr>
          <w:ilvl w:val="0"/>
          <w:numId w:val="0"/>
        </w:numPr>
        <w:ind w:left="210" w:leftChars="0"/>
        <w:jc w:val="center"/>
        <w:rPr>
          <w:rFonts w:hint="eastAsia" w:ascii="仿宋" w:hAnsi="仿宋" w:eastAsia="仿宋" w:cs="仿宋"/>
          <w:b/>
          <w:bCs/>
          <w:sz w:val="32"/>
          <w:szCs w:val="32"/>
          <w:lang w:val="en-US" w:eastAsia="zh-CN"/>
        </w:rPr>
      </w:pPr>
    </w:p>
    <w:p>
      <w:pPr>
        <w:numPr>
          <w:ilvl w:val="0"/>
          <w:numId w:val="0"/>
        </w:numPr>
        <w:ind w:left="210" w:leftChars="0"/>
        <w:jc w:val="center"/>
        <w:rPr>
          <w:rFonts w:hint="eastAsia" w:ascii="仿宋" w:hAnsi="仿宋" w:eastAsia="仿宋" w:cs="仿宋"/>
          <w:b/>
          <w:bCs/>
          <w:sz w:val="32"/>
          <w:szCs w:val="32"/>
          <w:lang w:val="en-US" w:eastAsia="zh-CN"/>
        </w:rPr>
      </w:pPr>
    </w:p>
    <w:p>
      <w:pPr>
        <w:numPr>
          <w:ilvl w:val="0"/>
          <w:numId w:val="0"/>
        </w:numPr>
        <w:ind w:left="210" w:leftChars="0"/>
        <w:jc w:val="center"/>
        <w:rPr>
          <w:rFonts w:hint="eastAsia" w:ascii="仿宋" w:hAnsi="仿宋" w:eastAsia="仿宋" w:cs="仿宋"/>
          <w:b/>
          <w:bCs/>
          <w:sz w:val="32"/>
          <w:szCs w:val="32"/>
          <w:lang w:val="en-US" w:eastAsia="zh-CN"/>
        </w:rPr>
      </w:pPr>
    </w:p>
    <w:p>
      <w:pPr>
        <w:numPr>
          <w:ilvl w:val="0"/>
          <w:numId w:val="0"/>
        </w:numPr>
        <w:ind w:left="210" w:leftChars="0"/>
        <w:jc w:val="center"/>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居高声自远，非是藉秋风</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只有站得高才能看得远，来自</w:t>
      </w:r>
      <w:r>
        <w:rPr>
          <w:rFonts w:hint="eastAsia" w:ascii="仿宋" w:hAnsi="仿宋" w:eastAsia="仿宋" w:cs="仿宋"/>
          <w:sz w:val="30"/>
          <w:szCs w:val="30"/>
          <w:lang w:eastAsia="zh-CN"/>
        </w:rPr>
        <w:t>西南大学张广祥教授以《高观点下中学数学教学》为题给大家带来了一场数学盛宴。数学推理—逻辑与直觉、从三角形内角和定理到欧拉定理、刘徽的直观构形、广义均值定理、欧拉的数学直觉，这些深奥的数学问题经张教授深入浅出的讲解，使得学员们豁然开朗，理解了什么才是中学数学教学中的高观点，对今后的教学工作具有重大的指导意义。</w:t>
      </w:r>
    </w:p>
    <w:p>
      <w:pPr>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239770" cy="2428875"/>
            <wp:effectExtent l="0" t="0" r="17780" b="9525"/>
            <wp:docPr id="6" name="图片 6" descr="41西南大学-张广祥-高观点下的高中数学课程内容研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1西南大学-张广祥-高观点下的高中数学课程内容研究"/>
                    <pic:cNvPicPr>
                      <a:picLocks noChangeAspect="1"/>
                    </pic:cNvPicPr>
                  </pic:nvPicPr>
                  <pic:blipFill>
                    <a:blip r:embed="rId7">
                      <a:lum bright="6000" contrast="6000"/>
                    </a:blip>
                    <a:stretch>
                      <a:fillRect/>
                    </a:stretch>
                  </pic:blipFill>
                  <pic:spPr>
                    <a:xfrm>
                      <a:off x="0" y="0"/>
                      <a:ext cx="3239770" cy="2428875"/>
                    </a:xfrm>
                    <a:prstGeom prst="rect">
                      <a:avLst/>
                    </a:prstGeom>
                  </pic:spPr>
                </pic:pic>
              </a:graphicData>
            </a:graphic>
          </wp:inline>
        </w:drawing>
      </w:r>
    </w:p>
    <w:p>
      <w:pPr>
        <w:numPr>
          <w:ilvl w:val="0"/>
          <w:numId w:val="0"/>
        </w:numPr>
        <w:ind w:left="210" w:leftChars="0"/>
        <w:jc w:val="center"/>
        <w:rPr>
          <w:rFonts w:hint="eastAsia" w:ascii="仿宋" w:hAnsi="仿宋" w:eastAsia="仿宋" w:cs="仿宋"/>
          <w:sz w:val="30"/>
          <w:szCs w:val="30"/>
          <w:lang w:eastAsia="zh-CN"/>
        </w:rPr>
      </w:pPr>
      <w:r>
        <w:rPr>
          <w:rFonts w:hint="eastAsia" w:ascii="仿宋" w:hAnsi="仿宋" w:eastAsia="仿宋" w:cs="仿宋"/>
          <w:b/>
          <w:bCs/>
          <w:sz w:val="32"/>
          <w:szCs w:val="32"/>
          <w:lang w:val="en-US" w:eastAsia="zh-CN"/>
        </w:rPr>
        <w:t>知之者不如好之者，好之者不如乐之者</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重庆南开中学杨飞老师带来了《从教育数学走向文化数学》的专题讲座，</w:t>
      </w:r>
      <w:r>
        <w:rPr>
          <w:rFonts w:hint="eastAsia" w:ascii="仿宋" w:hAnsi="仿宋" w:eastAsia="仿宋" w:cs="仿宋"/>
          <w:sz w:val="30"/>
          <w:szCs w:val="30"/>
          <w:lang w:val="en-US" w:eastAsia="zh-CN"/>
        </w:rPr>
        <w:t>杨老师用</w:t>
      </w:r>
      <w:r>
        <w:rPr>
          <w:rFonts w:hint="eastAsia" w:ascii="仿宋" w:hAnsi="仿宋" w:eastAsia="仿宋" w:cs="仿宋"/>
          <w:sz w:val="30"/>
          <w:szCs w:val="30"/>
          <w:lang w:eastAsia="zh-CN"/>
        </w:rPr>
        <w:t>幽默风趣的重庆方言向学员们展示了他在数学教学领域中很多独到的见解和方法。杨老师</w:t>
      </w:r>
      <w:r>
        <w:rPr>
          <w:rFonts w:hint="eastAsia" w:ascii="仿宋" w:hAnsi="仿宋" w:eastAsia="仿宋" w:cs="仿宋"/>
          <w:sz w:val="30"/>
          <w:szCs w:val="30"/>
          <w:lang w:val="en-US" w:eastAsia="zh-CN"/>
        </w:rPr>
        <w:t>从文化数学与数学文化的区别、文化数学与传统教育数学的比较、古代文化数学的回眸、当今文化数学的表现形式、文化数学的特点和价值、文化数学在教育教学中的应用、文化数学的尝试与构建、其他学科教学渗透文化的实践等几个方面，结合具体案例，</w:t>
      </w:r>
      <w:r>
        <w:rPr>
          <w:rFonts w:hint="eastAsia" w:ascii="仿宋" w:hAnsi="仿宋" w:eastAsia="仿宋" w:cs="仿宋"/>
          <w:sz w:val="30"/>
          <w:szCs w:val="30"/>
          <w:lang w:eastAsia="zh-CN"/>
        </w:rPr>
        <w:t>分享了他多年潜心研究的数学教学的成功经验。能够借助</w:t>
      </w:r>
      <w:r>
        <w:rPr>
          <w:rFonts w:hint="eastAsia" w:ascii="仿宋" w:hAnsi="仿宋" w:eastAsia="仿宋" w:cs="仿宋"/>
          <w:sz w:val="30"/>
          <w:szCs w:val="30"/>
          <w:lang w:val="en-US" w:eastAsia="zh-CN"/>
        </w:rPr>
        <w:t>故事、歌曲、诗歌等多种载体培养学生学习数学的热情和兴趣，这种与学生共情的教学方式也</w:t>
      </w:r>
      <w:r>
        <w:rPr>
          <w:rFonts w:hint="eastAsia" w:ascii="仿宋" w:hAnsi="仿宋" w:eastAsia="仿宋" w:cs="仿宋"/>
          <w:sz w:val="30"/>
          <w:szCs w:val="30"/>
          <w:lang w:eastAsia="zh-CN"/>
        </w:rPr>
        <w:t>引发了老师们广泛的关注和思考。</w:t>
      </w:r>
    </w:p>
    <w:p>
      <w:pPr>
        <w:ind w:firstLine="600" w:firstLineChars="200"/>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3239770" cy="2432685"/>
            <wp:effectExtent l="0" t="0" r="17780" b="5715"/>
            <wp:docPr id="9" name="图片 9" descr="bf535429b976226cd822afe00538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535429b976226cd822afe00538ec3"/>
                    <pic:cNvPicPr>
                      <a:picLocks noChangeAspect="1"/>
                    </pic:cNvPicPr>
                  </pic:nvPicPr>
                  <pic:blipFill>
                    <a:blip r:embed="rId8">
                      <a:lum bright="12000" contrast="6000"/>
                    </a:blip>
                    <a:stretch>
                      <a:fillRect/>
                    </a:stretch>
                  </pic:blipFill>
                  <pic:spPr>
                    <a:xfrm>
                      <a:off x="0" y="0"/>
                      <a:ext cx="3239770" cy="2432685"/>
                    </a:xfrm>
                    <a:prstGeom prst="rect">
                      <a:avLst/>
                    </a:prstGeom>
                  </pic:spPr>
                </pic:pic>
              </a:graphicData>
            </a:graphic>
          </wp:inline>
        </w:drawing>
      </w:r>
    </w:p>
    <w:p>
      <w:pPr>
        <w:ind w:firstLine="643" w:firstLineChars="200"/>
        <w:jc w:val="center"/>
        <w:rPr>
          <w:rFonts w:hint="eastAsia" w:ascii="仿宋" w:hAnsi="仿宋" w:eastAsia="仿宋" w:cs="仿宋"/>
          <w:sz w:val="30"/>
          <w:szCs w:val="30"/>
          <w:lang w:eastAsia="zh-CN"/>
        </w:rPr>
      </w:pPr>
      <w:r>
        <w:rPr>
          <w:rFonts w:hint="eastAsia" w:ascii="仿宋" w:hAnsi="仿宋" w:eastAsia="仿宋" w:cs="仿宋"/>
          <w:b/>
          <w:bCs/>
          <w:sz w:val="32"/>
          <w:szCs w:val="32"/>
          <w:lang w:val="en-US" w:eastAsia="zh-CN"/>
        </w:rPr>
        <w:t>鸳鸯绣了从教看，试把金针度与人</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11月</w:t>
      </w:r>
      <w:r>
        <w:rPr>
          <w:rFonts w:hint="eastAsia" w:ascii="仿宋" w:hAnsi="仿宋" w:eastAsia="仿宋" w:cs="仿宋"/>
          <w:sz w:val="30"/>
          <w:szCs w:val="30"/>
        </w:rPr>
        <w:t>19日</w:t>
      </w:r>
      <w:r>
        <w:rPr>
          <w:rFonts w:hint="eastAsia" w:ascii="仿宋" w:hAnsi="仿宋" w:eastAsia="仿宋" w:cs="仿宋"/>
          <w:sz w:val="30"/>
          <w:szCs w:val="30"/>
          <w:lang w:eastAsia="zh-CN"/>
        </w:rPr>
        <w:t>的专家讲座分别是</w:t>
      </w:r>
      <w:r>
        <w:rPr>
          <w:rFonts w:hint="eastAsia" w:ascii="仿宋" w:hAnsi="仿宋" w:eastAsia="仿宋" w:cs="仿宋"/>
          <w:sz w:val="30"/>
          <w:szCs w:val="30"/>
        </w:rPr>
        <w:t>西南大学于波教授的《课例研究—促进教师反思性实践》，重庆巴蜀中学黄炼老师的《高考数学教学建议</w:t>
      </w:r>
      <w:r>
        <w:rPr>
          <w:rFonts w:hint="eastAsia" w:ascii="仿宋" w:hAnsi="仿宋" w:eastAsia="仿宋" w:cs="仿宋"/>
          <w:sz w:val="30"/>
          <w:szCs w:val="30"/>
          <w:lang w:eastAsia="zh-CN"/>
        </w:rPr>
        <w:t>》。</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drawing>
          <wp:anchor distT="0" distB="0" distL="114300" distR="114300" simplePos="0" relativeHeight="251694080" behindDoc="1" locked="0" layoutInCell="1" allowOverlap="1">
            <wp:simplePos x="0" y="0"/>
            <wp:positionH relativeFrom="column">
              <wp:posOffset>2438400</wp:posOffset>
            </wp:positionH>
            <wp:positionV relativeFrom="paragraph">
              <wp:posOffset>153035</wp:posOffset>
            </wp:positionV>
            <wp:extent cx="2771775" cy="2077720"/>
            <wp:effectExtent l="0" t="0" r="47625" b="36830"/>
            <wp:wrapTight wrapText="bothSides">
              <wp:wrapPolygon>
                <wp:start x="0" y="0"/>
                <wp:lineTo x="0" y="21389"/>
                <wp:lineTo x="21526" y="21389"/>
                <wp:lineTo x="21526" y="0"/>
                <wp:lineTo x="0" y="0"/>
              </wp:wrapPolygon>
            </wp:wrapTight>
            <wp:docPr id="7" name="图片 7" descr="61西南大学-于波-课例研究促进教师反思性实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西南大学-于波-课例研究促进教师反思性实践"/>
                    <pic:cNvPicPr>
                      <a:picLocks noChangeAspect="1"/>
                    </pic:cNvPicPr>
                  </pic:nvPicPr>
                  <pic:blipFill>
                    <a:blip r:embed="rId9">
                      <a:lum bright="12000" contrast="12000"/>
                    </a:blip>
                    <a:stretch>
                      <a:fillRect/>
                    </a:stretch>
                  </pic:blipFill>
                  <pic:spPr>
                    <a:xfrm>
                      <a:off x="0" y="0"/>
                      <a:ext cx="2771775" cy="2077720"/>
                    </a:xfrm>
                    <a:prstGeom prst="rect">
                      <a:avLst/>
                    </a:prstGeom>
                  </pic:spPr>
                </pic:pic>
              </a:graphicData>
            </a:graphic>
          </wp:anchor>
        </w:drawing>
      </w:r>
      <w:r>
        <w:rPr>
          <w:rFonts w:hint="eastAsia" w:ascii="仿宋" w:hAnsi="仿宋" w:eastAsia="仿宋" w:cs="仿宋"/>
          <w:sz w:val="30"/>
          <w:szCs w:val="30"/>
          <w:lang w:eastAsia="zh-CN"/>
        </w:rPr>
        <w:t>于波教授给我们现场展示了一节如何调动学员积极性，培养学员思维能力的公开课。通过巧妙的设置—观察图片的问题情景，引导大家从看问题的视角和决定看问题的视角这两个方面出发，帮助大家发现解决问题的理论依据，感悟理论的魅力。通过例子告诉我们培养学生的思维的过程：经验参与—情感（支撑）——获得真知（思维），让学员们真正领悟到了课例研究的重要性。正如于教授所说，每一次教学就是每一次遗憾，每一次遗憾就会触动我们去改进教学，教学就是不断改进的。这节课极大的调动了学员的积极性，培养并拓宽了学员的教学理论研究的视野和品位。</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eastAsia="zh-CN"/>
        </w:rPr>
        <w:drawing>
          <wp:anchor distT="0" distB="0" distL="114300" distR="114300" simplePos="0" relativeHeight="251689984" behindDoc="1" locked="0" layoutInCell="1" allowOverlap="1">
            <wp:simplePos x="0" y="0"/>
            <wp:positionH relativeFrom="column">
              <wp:posOffset>28575</wp:posOffset>
            </wp:positionH>
            <wp:positionV relativeFrom="paragraph">
              <wp:posOffset>552450</wp:posOffset>
            </wp:positionV>
            <wp:extent cx="2771775" cy="2077720"/>
            <wp:effectExtent l="0" t="0" r="47625" b="36830"/>
            <wp:wrapTight wrapText="bothSides">
              <wp:wrapPolygon>
                <wp:start x="0" y="0"/>
                <wp:lineTo x="0" y="21389"/>
                <wp:lineTo x="21526" y="21389"/>
                <wp:lineTo x="21526" y="0"/>
                <wp:lineTo x="0" y="0"/>
              </wp:wrapPolygon>
            </wp:wrapTight>
            <wp:docPr id="8" name="图片 8" descr="41abc16a38a55172673da3350ca2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1abc16a38a55172673da3350ca26b9"/>
                    <pic:cNvPicPr>
                      <a:picLocks noChangeAspect="1"/>
                    </pic:cNvPicPr>
                  </pic:nvPicPr>
                  <pic:blipFill>
                    <a:blip r:embed="rId10">
                      <a:lum bright="6000" contrast="6000"/>
                    </a:blip>
                    <a:stretch>
                      <a:fillRect/>
                    </a:stretch>
                  </pic:blipFill>
                  <pic:spPr>
                    <a:xfrm>
                      <a:off x="0" y="0"/>
                      <a:ext cx="2771775" cy="2077720"/>
                    </a:xfrm>
                    <a:prstGeom prst="rect">
                      <a:avLst/>
                    </a:prstGeom>
                  </pic:spPr>
                </pic:pic>
              </a:graphicData>
            </a:graphic>
          </wp:anchor>
        </w:drawing>
      </w:r>
      <w:r>
        <w:rPr>
          <w:rFonts w:hint="eastAsia" w:ascii="仿宋" w:hAnsi="仿宋" w:eastAsia="仿宋" w:cs="仿宋"/>
          <w:sz w:val="30"/>
          <w:szCs w:val="30"/>
          <w:lang w:eastAsia="zh-CN"/>
        </w:rPr>
        <w:t>任教10余年，所培养的学生中曾荣获两届重庆市理科状元且数学高考满分，十多年的教学生涯中有六十多人考入清华北大的黄炼老师则把高中数学教学工作做到了精细化、规范化、科学化。他分别从教师研究什么、如何抓好训练、如何做好评讲、磨练心性、树立信心，关于阅卷的思考等方面系统讲授了如何应对高考备考的各种问题。从高考高频考点的总结到高考试题类型的划分，从高考对教材要求到学习计划的安排，从对高考知识点难度的把握到模拟试题的命制，从试卷如何讲评到引导学生错题如何整理，从高考评卷的原则到对学生答题规范性的要求，从对学生心理问题的疏导到考场上学生心理的调节，从考场上对做题时间的分配到尽可能多拿分的做题策略，老师们觉得</w:t>
      </w:r>
      <w:r>
        <w:rPr>
          <w:rFonts w:hint="eastAsia" w:ascii="仿宋" w:hAnsi="仿宋" w:eastAsia="仿宋" w:cs="仿宋"/>
          <w:sz w:val="30"/>
          <w:szCs w:val="30"/>
          <w:lang w:val="en-US" w:eastAsia="zh-CN"/>
        </w:rPr>
        <w:t>受益匪浅。</w:t>
      </w:r>
    </w:p>
    <w:p>
      <w:pPr>
        <w:numPr>
          <w:ilvl w:val="0"/>
          <w:numId w:val="0"/>
        </w:numPr>
        <w:ind w:left="210" w:leftChars="0"/>
        <w:jc w:val="center"/>
        <w:rPr>
          <w:rFonts w:hint="eastAsia" w:ascii="仿宋" w:hAnsi="仿宋" w:eastAsia="仿宋" w:cs="仿宋"/>
          <w:sz w:val="30"/>
          <w:szCs w:val="30"/>
          <w:lang w:val="en-US" w:eastAsia="zh-CN"/>
        </w:rPr>
      </w:pPr>
      <w:r>
        <w:rPr>
          <w:rFonts w:hint="eastAsia" w:ascii="仿宋" w:hAnsi="仿宋" w:eastAsia="仿宋" w:cs="仿宋"/>
          <w:sz w:val="30"/>
          <w:szCs w:val="30"/>
        </w:rPr>
        <w:drawing>
          <wp:anchor distT="0" distB="0" distL="114300" distR="114300" simplePos="0" relativeHeight="251669504" behindDoc="1" locked="0" layoutInCell="1" allowOverlap="1">
            <wp:simplePos x="0" y="0"/>
            <wp:positionH relativeFrom="column">
              <wp:posOffset>2495550</wp:posOffset>
            </wp:positionH>
            <wp:positionV relativeFrom="page">
              <wp:posOffset>8020050</wp:posOffset>
            </wp:positionV>
            <wp:extent cx="2771775" cy="2033905"/>
            <wp:effectExtent l="0" t="0" r="9525" b="61595"/>
            <wp:wrapTight wrapText="bothSides">
              <wp:wrapPolygon>
                <wp:start x="0" y="0"/>
                <wp:lineTo x="0" y="21445"/>
                <wp:lineTo x="21526" y="21445"/>
                <wp:lineTo x="21526" y="0"/>
                <wp:lineTo x="0" y="0"/>
              </wp:wrapPolygon>
            </wp:wrapTight>
            <wp:docPr id="10" name="图片 10" descr="b02ea783ab082e2e968c416d5f49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02ea783ab082e2e968c416d5f49df9"/>
                    <pic:cNvPicPr>
                      <a:picLocks noChangeAspect="1"/>
                    </pic:cNvPicPr>
                  </pic:nvPicPr>
                  <pic:blipFill>
                    <a:blip r:embed="rId11">
                      <a:lum contrast="12000"/>
                    </a:blip>
                    <a:stretch>
                      <a:fillRect/>
                    </a:stretch>
                  </pic:blipFill>
                  <pic:spPr>
                    <a:xfrm>
                      <a:off x="0" y="0"/>
                      <a:ext cx="2771775" cy="2033905"/>
                    </a:xfrm>
                    <a:prstGeom prst="rect">
                      <a:avLst/>
                    </a:prstGeom>
                  </pic:spPr>
                </pic:pic>
              </a:graphicData>
            </a:graphic>
          </wp:anchor>
        </w:drawing>
      </w:r>
      <w:r>
        <w:rPr>
          <w:rFonts w:hint="eastAsia" w:ascii="仿宋" w:hAnsi="仿宋" w:eastAsia="仿宋" w:cs="仿宋"/>
          <w:b/>
          <w:bCs/>
          <w:sz w:val="32"/>
          <w:szCs w:val="32"/>
          <w:lang w:val="en-US" w:eastAsia="zh-CN"/>
        </w:rPr>
        <w:t>学而无止境，行稳而致远</w:t>
      </w:r>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培训的最后一天，</w:t>
      </w:r>
      <w:r>
        <w:rPr>
          <w:rFonts w:hint="eastAsia" w:ascii="仿宋" w:hAnsi="仿宋" w:eastAsia="仿宋" w:cs="仿宋"/>
          <w:sz w:val="30"/>
          <w:szCs w:val="30"/>
        </w:rPr>
        <w:t>西南大学张廷艳教授</w:t>
      </w:r>
      <w:r>
        <w:rPr>
          <w:rFonts w:hint="eastAsia" w:ascii="仿宋" w:hAnsi="仿宋" w:eastAsia="仿宋" w:cs="仿宋"/>
          <w:sz w:val="30"/>
          <w:szCs w:val="30"/>
          <w:lang w:eastAsia="zh-CN"/>
        </w:rPr>
        <w:t>就《</w:t>
      </w:r>
      <w:r>
        <w:rPr>
          <w:rFonts w:hint="eastAsia" w:ascii="仿宋" w:hAnsi="仿宋" w:eastAsia="仿宋" w:cs="仿宋"/>
          <w:sz w:val="30"/>
          <w:szCs w:val="30"/>
        </w:rPr>
        <w:t>数学课程改革的价值追求与实践研究》</w:t>
      </w:r>
      <w:r>
        <w:rPr>
          <w:rFonts w:hint="eastAsia" w:ascii="仿宋" w:hAnsi="仿宋" w:eastAsia="仿宋" w:cs="仿宋"/>
          <w:sz w:val="30"/>
          <w:szCs w:val="30"/>
          <w:lang w:eastAsia="zh-CN"/>
        </w:rPr>
        <w:t>这一主题，站在新时代教育改革需要的高度，从二十世纪我国数学教育观的变化、数学课程改革的价值追求、数学学科核心素养的理解与教学落实这三个方面直指今日数学课堂之现状，呼吁老师们顺应时代发展的趋势，扭转教学理念，潜心研究数学教学与数学教育，为老师们的课堂教学提供了理论与实践指导。</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val="en-US" w:eastAsia="zh-CN"/>
        </w:rPr>
        <w:t>下午，在培训班班长马佳的主持下，所有</w:t>
      </w:r>
      <w:r>
        <w:rPr>
          <w:rFonts w:hint="eastAsia" w:ascii="仿宋" w:hAnsi="仿宋" w:eastAsia="仿宋" w:cs="仿宋"/>
          <w:sz w:val="30"/>
          <w:szCs w:val="30"/>
          <w:lang w:eastAsia="zh-CN"/>
        </w:rPr>
        <w:t>参加</w:t>
      </w:r>
      <w:r>
        <w:rPr>
          <w:rFonts w:hint="eastAsia" w:ascii="仿宋" w:hAnsi="仿宋" w:eastAsia="仿宋" w:cs="仿宋"/>
          <w:sz w:val="30"/>
          <w:szCs w:val="30"/>
          <w:lang w:val="en-US" w:eastAsia="zh-CN"/>
        </w:rPr>
        <w:t>研修的</w:t>
      </w:r>
      <w:r>
        <w:rPr>
          <w:rFonts w:hint="eastAsia" w:ascii="仿宋" w:hAnsi="仿宋" w:eastAsia="仿宋" w:cs="仿宋"/>
          <w:sz w:val="30"/>
          <w:szCs w:val="30"/>
        </w:rPr>
        <w:t>高中</w:t>
      </w:r>
      <w:r>
        <w:rPr>
          <w:rFonts w:hint="eastAsia" w:ascii="仿宋" w:hAnsi="仿宋" w:eastAsia="仿宋" w:cs="仿宋"/>
          <w:sz w:val="30"/>
          <w:szCs w:val="30"/>
          <w:lang w:eastAsia="zh-CN"/>
        </w:rPr>
        <w:t>数学</w:t>
      </w:r>
      <w:r>
        <w:rPr>
          <w:rFonts w:hint="eastAsia" w:ascii="仿宋" w:hAnsi="仿宋" w:eastAsia="仿宋" w:cs="仿宋"/>
          <w:sz w:val="30"/>
          <w:szCs w:val="30"/>
        </w:rPr>
        <w:t>骨干教师参加了结业典礼</w:t>
      </w:r>
      <w:r>
        <w:rPr>
          <w:rFonts w:hint="eastAsia" w:ascii="仿宋" w:hAnsi="仿宋" w:eastAsia="仿宋" w:cs="仿宋"/>
          <w:sz w:val="30"/>
          <w:szCs w:val="30"/>
          <w:lang w:eastAsia="zh-CN"/>
        </w:rPr>
        <w:t>，在学员精彩纷呈的发言中，巴蜀学习之旅圆满结束。</w:t>
      </w:r>
    </w:p>
    <w:p>
      <w:pPr>
        <w:jc w:val="both"/>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400040" cy="5525770"/>
            <wp:effectExtent l="0" t="0" r="10160" b="17780"/>
            <wp:docPr id="11" name="图片 11" descr="WPS图片-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PS图片-拼图"/>
                    <pic:cNvPicPr>
                      <a:picLocks noChangeAspect="1"/>
                    </pic:cNvPicPr>
                  </pic:nvPicPr>
                  <pic:blipFill>
                    <a:blip r:embed="rId12"/>
                    <a:stretch>
                      <a:fillRect/>
                    </a:stretch>
                  </pic:blipFill>
                  <pic:spPr>
                    <a:xfrm>
                      <a:off x="0" y="0"/>
                      <a:ext cx="5400040" cy="5525770"/>
                    </a:xfrm>
                    <a:prstGeom prst="rect">
                      <a:avLst/>
                    </a:prstGeom>
                  </pic:spPr>
                </pic:pic>
              </a:graphicData>
            </a:graphic>
          </wp:inline>
        </w:drawing>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drawing>
          <wp:anchor distT="0" distB="0" distL="114300" distR="114300" simplePos="0" relativeHeight="251693056" behindDoc="0" locked="0" layoutInCell="1" allowOverlap="1">
            <wp:simplePos x="0" y="0"/>
            <wp:positionH relativeFrom="column">
              <wp:posOffset>20955</wp:posOffset>
            </wp:positionH>
            <wp:positionV relativeFrom="paragraph">
              <wp:posOffset>60960</wp:posOffset>
            </wp:positionV>
            <wp:extent cx="5219700" cy="3479165"/>
            <wp:effectExtent l="0" t="0" r="0" b="6985"/>
            <wp:wrapTopAndBottom/>
            <wp:docPr id="2" name="图片 2" descr="fbc688b5b47a4dcfaae98b84ea1b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c688b5b47a4dcfaae98b84ea1bfcd"/>
                    <pic:cNvPicPr>
                      <a:picLocks noChangeAspect="1"/>
                    </pic:cNvPicPr>
                  </pic:nvPicPr>
                  <pic:blipFill>
                    <a:blip r:embed="rId13">
                      <a:lum contrast="24000"/>
                    </a:blip>
                    <a:stretch>
                      <a:fillRect/>
                    </a:stretch>
                  </pic:blipFill>
                  <pic:spPr>
                    <a:xfrm>
                      <a:off x="0" y="0"/>
                      <a:ext cx="5219700" cy="3479165"/>
                    </a:xfrm>
                    <a:prstGeom prst="rect">
                      <a:avLst/>
                    </a:prstGeom>
                  </pic:spPr>
                </pic:pic>
              </a:graphicData>
            </a:graphic>
          </wp:anchor>
        </w:drawing>
      </w:r>
      <w:r>
        <w:rPr>
          <w:rFonts w:hint="eastAsia" w:ascii="仿宋" w:hAnsi="仿宋" w:eastAsia="仿宋" w:cs="仿宋"/>
          <w:sz w:val="30"/>
          <w:szCs w:val="30"/>
          <w:lang w:eastAsia="zh-CN"/>
        </w:rPr>
        <w:t>五天的培训学习虽然短暂，各位培训专家们的思想却也在不断冲击、推动学员们反思自己的教育、教学行为，反思自己前行的方向和目标。</w:t>
      </w:r>
      <w:bookmarkStart w:id="0" w:name="_GoBack"/>
      <w:bookmarkEnd w:id="0"/>
      <w:r>
        <w:rPr>
          <w:rFonts w:hint="eastAsia" w:ascii="仿宋" w:hAnsi="仿宋" w:eastAsia="仿宋" w:cs="仿宋"/>
          <w:sz w:val="30"/>
          <w:szCs w:val="30"/>
          <w:lang w:eastAsia="zh-CN"/>
        </w:rPr>
        <w:t>我们会坚定信念，不忘初心，不断求索，砥砺前行！</w:t>
      </w:r>
    </w:p>
    <w:sectPr>
      <w:pgSz w:w="11906" w:h="16838"/>
      <w:pgMar w:top="1440" w:right="1800" w:bottom="1478" w:left="1800"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B96067"/>
    <w:rsid w:val="003C0F9E"/>
    <w:rsid w:val="003C65B7"/>
    <w:rsid w:val="0043065D"/>
    <w:rsid w:val="00785DB1"/>
    <w:rsid w:val="007A7A48"/>
    <w:rsid w:val="009100CA"/>
    <w:rsid w:val="00B16B08"/>
    <w:rsid w:val="00BE4D2A"/>
    <w:rsid w:val="00E94262"/>
    <w:rsid w:val="02255EF6"/>
    <w:rsid w:val="02452926"/>
    <w:rsid w:val="030106CC"/>
    <w:rsid w:val="030633B5"/>
    <w:rsid w:val="04C7052D"/>
    <w:rsid w:val="04FB0D40"/>
    <w:rsid w:val="06323B77"/>
    <w:rsid w:val="09BF5899"/>
    <w:rsid w:val="09E92705"/>
    <w:rsid w:val="0AC97030"/>
    <w:rsid w:val="0ADB5008"/>
    <w:rsid w:val="0C0F7A01"/>
    <w:rsid w:val="0C853DEC"/>
    <w:rsid w:val="0F892EE4"/>
    <w:rsid w:val="10392B39"/>
    <w:rsid w:val="10F87000"/>
    <w:rsid w:val="11057278"/>
    <w:rsid w:val="11925504"/>
    <w:rsid w:val="11DA0DF1"/>
    <w:rsid w:val="11EA7A56"/>
    <w:rsid w:val="12AA4DD2"/>
    <w:rsid w:val="14062907"/>
    <w:rsid w:val="147C6DCF"/>
    <w:rsid w:val="14BB273E"/>
    <w:rsid w:val="14CA7C47"/>
    <w:rsid w:val="15E50C6B"/>
    <w:rsid w:val="18823A59"/>
    <w:rsid w:val="1A7D05D3"/>
    <w:rsid w:val="1BBF5791"/>
    <w:rsid w:val="1D2A36CC"/>
    <w:rsid w:val="1D7902DC"/>
    <w:rsid w:val="1D8D74E2"/>
    <w:rsid w:val="1DF11B7D"/>
    <w:rsid w:val="1F8A06D2"/>
    <w:rsid w:val="1F9D2A5D"/>
    <w:rsid w:val="1FC759CC"/>
    <w:rsid w:val="20857E91"/>
    <w:rsid w:val="213A1FAB"/>
    <w:rsid w:val="2236006D"/>
    <w:rsid w:val="22A26BD6"/>
    <w:rsid w:val="22E767EF"/>
    <w:rsid w:val="22F52DD1"/>
    <w:rsid w:val="23714A5D"/>
    <w:rsid w:val="237D57DA"/>
    <w:rsid w:val="23D72FE7"/>
    <w:rsid w:val="241506AF"/>
    <w:rsid w:val="242078CD"/>
    <w:rsid w:val="24C50FE5"/>
    <w:rsid w:val="25C63373"/>
    <w:rsid w:val="27312F0F"/>
    <w:rsid w:val="27E526D3"/>
    <w:rsid w:val="2A7626D7"/>
    <w:rsid w:val="2C961FB0"/>
    <w:rsid w:val="2DDA2B91"/>
    <w:rsid w:val="2DFD238A"/>
    <w:rsid w:val="2E99536F"/>
    <w:rsid w:val="2F0920E1"/>
    <w:rsid w:val="2FA9467C"/>
    <w:rsid w:val="30674878"/>
    <w:rsid w:val="308C7A35"/>
    <w:rsid w:val="3221505A"/>
    <w:rsid w:val="34CF74AE"/>
    <w:rsid w:val="36687C5F"/>
    <w:rsid w:val="377F6E16"/>
    <w:rsid w:val="380E4AA5"/>
    <w:rsid w:val="38787CDF"/>
    <w:rsid w:val="39EB566A"/>
    <w:rsid w:val="3B2376F8"/>
    <w:rsid w:val="3B316A4D"/>
    <w:rsid w:val="3B550BDC"/>
    <w:rsid w:val="3C6E3181"/>
    <w:rsid w:val="3CDA3F2B"/>
    <w:rsid w:val="3E4F2259"/>
    <w:rsid w:val="3F4C0ECD"/>
    <w:rsid w:val="3FC16E90"/>
    <w:rsid w:val="40250B15"/>
    <w:rsid w:val="402D0B67"/>
    <w:rsid w:val="408E718B"/>
    <w:rsid w:val="40CF11A2"/>
    <w:rsid w:val="41822449"/>
    <w:rsid w:val="419A0007"/>
    <w:rsid w:val="41AB479C"/>
    <w:rsid w:val="46016748"/>
    <w:rsid w:val="46242B7B"/>
    <w:rsid w:val="46E46423"/>
    <w:rsid w:val="474E5EB1"/>
    <w:rsid w:val="47823D20"/>
    <w:rsid w:val="47B96067"/>
    <w:rsid w:val="47ED1714"/>
    <w:rsid w:val="480303F5"/>
    <w:rsid w:val="482662A0"/>
    <w:rsid w:val="48FB5BB6"/>
    <w:rsid w:val="492E5A46"/>
    <w:rsid w:val="49455319"/>
    <w:rsid w:val="49717AE1"/>
    <w:rsid w:val="4AA52D9F"/>
    <w:rsid w:val="4B087A47"/>
    <w:rsid w:val="4C09372F"/>
    <w:rsid w:val="4CC31E05"/>
    <w:rsid w:val="4F646D75"/>
    <w:rsid w:val="4FA4406C"/>
    <w:rsid w:val="50E045F7"/>
    <w:rsid w:val="511378E0"/>
    <w:rsid w:val="515905A7"/>
    <w:rsid w:val="52760192"/>
    <w:rsid w:val="532C459A"/>
    <w:rsid w:val="53315E8F"/>
    <w:rsid w:val="54DA518E"/>
    <w:rsid w:val="55204DC6"/>
    <w:rsid w:val="55493E64"/>
    <w:rsid w:val="55903EA6"/>
    <w:rsid w:val="55B70768"/>
    <w:rsid w:val="55DE2961"/>
    <w:rsid w:val="569149A5"/>
    <w:rsid w:val="56A25F37"/>
    <w:rsid w:val="56F3350D"/>
    <w:rsid w:val="59111322"/>
    <w:rsid w:val="5A3D5389"/>
    <w:rsid w:val="5A5877D5"/>
    <w:rsid w:val="5A972C52"/>
    <w:rsid w:val="5C23702D"/>
    <w:rsid w:val="5CE83B0A"/>
    <w:rsid w:val="5EB0424F"/>
    <w:rsid w:val="5F4D5579"/>
    <w:rsid w:val="60FA4FC6"/>
    <w:rsid w:val="61C45290"/>
    <w:rsid w:val="61E16637"/>
    <w:rsid w:val="62BE10D6"/>
    <w:rsid w:val="62D32EFC"/>
    <w:rsid w:val="63A46948"/>
    <w:rsid w:val="63B40407"/>
    <w:rsid w:val="644106B1"/>
    <w:rsid w:val="652E0132"/>
    <w:rsid w:val="67A40507"/>
    <w:rsid w:val="68FC3A4E"/>
    <w:rsid w:val="69B56B1B"/>
    <w:rsid w:val="69CD75E2"/>
    <w:rsid w:val="6A72440D"/>
    <w:rsid w:val="6ACB7BEB"/>
    <w:rsid w:val="6B055DA1"/>
    <w:rsid w:val="6B663AB6"/>
    <w:rsid w:val="6B664BD5"/>
    <w:rsid w:val="6C42672F"/>
    <w:rsid w:val="6C736058"/>
    <w:rsid w:val="6D475EBA"/>
    <w:rsid w:val="6D543FE8"/>
    <w:rsid w:val="6E80273A"/>
    <w:rsid w:val="6E9A0E13"/>
    <w:rsid w:val="6EC361B0"/>
    <w:rsid w:val="6F825911"/>
    <w:rsid w:val="704852D1"/>
    <w:rsid w:val="70E90C93"/>
    <w:rsid w:val="72B11627"/>
    <w:rsid w:val="73125BB7"/>
    <w:rsid w:val="742925ED"/>
    <w:rsid w:val="74B36ADA"/>
    <w:rsid w:val="75CF21F2"/>
    <w:rsid w:val="76132C3C"/>
    <w:rsid w:val="769F0D4E"/>
    <w:rsid w:val="79370B03"/>
    <w:rsid w:val="7A65605F"/>
    <w:rsid w:val="7F8A5DE6"/>
    <w:rsid w:val="7FA93991"/>
    <w:rsid w:val="7FAB1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5">
    <w:name w:val="Default Paragraph Font"/>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2391</Words>
  <Characters>2409</Characters>
  <Lines>9</Lines>
  <Paragraphs>2</Paragraphs>
  <TotalTime>15</TotalTime>
  <ScaleCrop>false</ScaleCrop>
  <LinksUpToDate>false</LinksUpToDate>
  <CharactersWithSpaces>2418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2020-11-23T08:35:00Z</dcterms:created>
  <dc:creator>麻小嘉</dc:creator>
  <cp:lastModifiedBy>麻小嘉</cp:lastModifiedBy>
  <dcterms:modified xsi:type="dcterms:W3CDTF">2020-12-01T02:03:52Z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